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74"/>
        <w:gridCol w:w="975"/>
        <w:gridCol w:w="1132"/>
        <w:gridCol w:w="1530"/>
        <w:gridCol w:w="1656"/>
        <w:gridCol w:w="3782"/>
        <w:gridCol w:w="3420"/>
        <w:gridCol w:w="1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 xml:space="preserve">附件1：          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淮安市洪泽区人民医院2023年公开招聘合同制专业技术人员岗位表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医学检验技术/临床检验诊断学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往届生需二甲以上医院1年以上工作经历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医学检验技术/病理学与病理生理学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眼视光技术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新闻学/传播学/广播电视新闻/新闻与传播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35周岁以下（1988年1月1日以后出生）；有文字功底、电视台工作经历优先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2Q1ZTk1ODkwMGIzZGQ5MzZjYmM0MjE0MzViNzcifQ=="/>
  </w:docVars>
  <w:rsids>
    <w:rsidRoot w:val="12641676"/>
    <w:rsid w:val="126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2023-07-03T09:16:00Z</dcterms:created>
  <dc:creator>诗词哥赋</dc:creator>
  <cp:lastModifiedBy>诗词哥赋</cp:lastModifiedBy>
  <dcterms:modified xsi:type="dcterms:W3CDTF">2023-07-03T09:19:08Z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D035D6FFC4814827892604C64E84DF71_11</vt:lpwstr>
  </property>
</Properties>
</file>