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</w:p>
    <w:p>
      <w:pPr>
        <w:pStyle w:val="3"/>
        <w:rPr>
          <w:rFonts w:ascii="Times New Roman"/>
          <w:sz w:val="4"/>
        </w:rPr>
      </w:pPr>
      <w:bookmarkStart w:id="0" w:name="_GoBack"/>
      <w:bookmarkEnd w:id="0"/>
    </w:p>
    <w:p>
      <w:pPr>
        <w:pStyle w:val="3"/>
        <w:spacing w:before="4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江苏省医疗机构预检分诊操作表</w:t>
      </w:r>
    </w:p>
    <w:p>
      <w:pPr>
        <w:pStyle w:val="3"/>
        <w:tabs>
          <w:tab w:val="left" w:pos="2686"/>
          <w:tab w:val="left" w:pos="4672"/>
          <w:tab w:val="left" w:pos="8927"/>
        </w:tabs>
        <w:spacing w:before="79" w:line="235" w:lineRule="auto"/>
        <w:ind w:left="111" w:right="236"/>
        <w:jc w:val="both"/>
        <w:rPr>
          <w:rFonts w:ascii="楷体_GB2312" w:hAnsi="楷体_GB2312" w:eastAsia="楷体_GB2312"/>
        </w:rPr>
      </w:pPr>
    </w:p>
    <w:p>
      <w:pPr>
        <w:pStyle w:val="3"/>
        <w:tabs>
          <w:tab w:val="left" w:pos="2925"/>
          <w:tab w:val="left" w:pos="5145"/>
          <w:tab w:val="left" w:pos="10005"/>
        </w:tabs>
        <w:spacing w:before="79" w:after="240" w:afterLines="100" w:line="235" w:lineRule="auto"/>
        <w:ind w:left="111" w:right="236"/>
        <w:jc w:val="both"/>
        <w:rPr>
          <w:rFonts w:ascii="Times New Roman" w:hAnsi="Times New Roman" w:eastAsiaTheme="minorEastAsia"/>
          <w:u w:val="single"/>
        </w:rPr>
      </w:pPr>
      <w:r>
        <w:rPr>
          <w:rFonts w:hint="eastAsia" w:ascii="楷体_GB2312" w:hAnsi="楷体_GB2312" w:eastAsia="楷体_GB2312"/>
        </w:rPr>
        <w:t>姓名：</w:t>
      </w:r>
      <w:r>
        <w:rPr>
          <w:rFonts w:hint="eastAsia" w:ascii="楷体_GB2312" w:hAnsi="楷体_GB2312" w:eastAsia="楷体_GB2312"/>
          <w:u w:val="single"/>
        </w:rPr>
        <w:t xml:space="preserve"> </w:t>
      </w:r>
      <w:r>
        <w:rPr>
          <w:rFonts w:ascii="楷体_GB2312" w:hAnsi="楷体_GB2312" w:eastAsia="楷体_GB2312"/>
          <w:u w:val="single"/>
        </w:rPr>
        <w:t xml:space="preserve">       </w:t>
      </w:r>
      <w:r>
        <w:rPr>
          <w:rFonts w:hint="eastAsia" w:ascii="楷体_GB2312" w:hAnsi="楷体_GB2312" w:eastAsia="楷体_GB2312"/>
          <w:u w:val="single"/>
        </w:rPr>
        <w:tab/>
      </w:r>
      <w:r>
        <w:rPr>
          <w:rFonts w:hint="eastAsia" w:ascii="楷体_GB2312" w:hAnsi="楷体_GB2312" w:eastAsia="楷体_GB2312"/>
        </w:rPr>
        <w:t>体温：</w:t>
      </w:r>
      <w:r>
        <w:rPr>
          <w:rFonts w:hint="eastAsia" w:ascii="楷体_GB2312" w:hAnsi="楷体_GB2312" w:eastAsia="楷体_GB2312"/>
          <w:u w:val="single"/>
        </w:rPr>
        <w:t xml:space="preserve"> </w:t>
      </w:r>
      <w:r>
        <w:rPr>
          <w:rFonts w:ascii="楷体_GB2312" w:hAnsi="楷体_GB2312" w:eastAsia="楷体_GB2312"/>
          <w:u w:val="single"/>
        </w:rPr>
        <w:t xml:space="preserve">    </w:t>
      </w:r>
      <w:r>
        <w:rPr>
          <w:rFonts w:hint="eastAsia" w:ascii="楷体_GB2312" w:hAnsi="楷体_GB2312" w:eastAsia="楷体_GB2312"/>
          <w:u w:val="single"/>
        </w:rPr>
        <w:tab/>
      </w:r>
      <w:r>
        <w:rPr>
          <w:rFonts w:hint="eastAsia" w:ascii="楷体_GB2312" w:hAnsi="楷体_GB2312" w:eastAsia="楷体_GB2312"/>
        </w:rPr>
        <w:t>℃</w:t>
      </w:r>
      <w:r>
        <w:rPr>
          <w:rFonts w:hint="eastAsia" w:ascii="楷体_GB2312" w:hAnsi="楷体_GB2312" w:eastAsia="楷体_GB2312"/>
          <w:spacing w:val="120"/>
        </w:rPr>
        <w:t xml:space="preserve"> </w:t>
      </w:r>
      <w:r>
        <w:rPr>
          <w:rFonts w:hint="eastAsia" w:ascii="楷体_GB2312" w:hAnsi="楷体_GB2312" w:eastAsia="楷体_GB2312"/>
        </w:rPr>
        <w:t>联系电话：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 xml:space="preserve"> </w:t>
      </w:r>
    </w:p>
    <w:p>
      <w:pPr>
        <w:pStyle w:val="3"/>
        <w:tabs>
          <w:tab w:val="left" w:pos="2925"/>
          <w:tab w:val="left" w:pos="4672"/>
          <w:tab w:val="left" w:pos="8927"/>
        </w:tabs>
        <w:spacing w:before="79" w:after="240" w:afterLines="100" w:line="235" w:lineRule="auto"/>
        <w:ind w:left="111" w:right="236"/>
        <w:jc w:val="both"/>
        <w:rPr>
          <w:rFonts w:ascii="Times New Roman" w:hAnsi="Times New Roman" w:eastAsia="宋体"/>
          <w:u w:val="single"/>
          <w:lang w:val="en-US"/>
        </w:rPr>
      </w:pPr>
      <w:r>
        <w:rPr>
          <w:rFonts w:hint="eastAsia" w:ascii="楷体_GB2312" w:hAnsi="楷体_GB2312" w:eastAsia="楷体_GB2312"/>
        </w:rPr>
        <w:t>日期：</w:t>
      </w:r>
      <w:r>
        <w:rPr>
          <w:rFonts w:hint="eastAsia" w:ascii="楷体_GB2312" w:hAnsi="楷体_GB2312" w:eastAsia="楷体_GB2312"/>
          <w:u w:val="single"/>
        </w:rPr>
        <w:t xml:space="preserve"> </w:t>
      </w:r>
      <w:r>
        <w:rPr>
          <w:rFonts w:hint="eastAsia" w:ascii="楷体_GB2312" w:hAnsi="楷体_GB2312" w:eastAsia="楷体_GB2312"/>
          <w:u w:val="single"/>
        </w:rPr>
        <w:tab/>
      </w:r>
      <w:r>
        <w:rPr>
          <w:rFonts w:hint="eastAsia" w:ascii="楷体_GB2312" w:hAnsi="楷体_GB2312" w:eastAsia="楷体_GB2312"/>
        </w:rPr>
        <w:t>身份证号：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hint="eastAsia" w:ascii="Times New Roman" w:hAnsi="Times New Roman" w:eastAsia="宋体"/>
          <w:u w:val="single"/>
          <w:lang w:val="en-US"/>
        </w:rPr>
        <w:t xml:space="preserve">                                                                       </w:t>
      </w:r>
      <w:r>
        <w:rPr>
          <w:rFonts w:ascii="Times New Roman" w:hAnsi="Times New Roman" w:eastAsia="宋体"/>
          <w:u w:val="single"/>
          <w:lang w:val="en-US"/>
        </w:rPr>
        <w:t xml:space="preserve">                   </w:t>
      </w:r>
    </w:p>
    <w:p>
      <w:pPr>
        <w:pStyle w:val="3"/>
        <w:tabs>
          <w:tab w:val="left" w:pos="2686"/>
          <w:tab w:val="left" w:pos="4672"/>
          <w:tab w:val="left" w:pos="8927"/>
        </w:tabs>
        <w:spacing w:before="79" w:after="240" w:afterLines="100" w:line="235" w:lineRule="auto"/>
        <w:ind w:left="111" w:right="236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一、流行病学史调查，请在相应栏内“有打√，无打×</w:t>
      </w:r>
      <w:r>
        <w:rPr>
          <w:rFonts w:hint="eastAsia" w:ascii="黑体" w:hAnsi="黑体" w:eastAsia="黑体"/>
          <w:spacing w:val="-120"/>
        </w:rPr>
        <w:t>”。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6"/>
        <w:gridCol w:w="7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766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pStyle w:val="10"/>
              <w:spacing w:before="170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流行病史</w:t>
            </w:r>
          </w:p>
        </w:tc>
        <w:tc>
          <w:tcPr>
            <w:tcW w:w="730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spacing w:before="14"/>
              <w:jc w:val="both"/>
              <w:rPr>
                <w:sz w:val="24"/>
              </w:rPr>
            </w:pPr>
            <w:r>
              <w:rPr>
                <w:sz w:val="24"/>
              </w:rPr>
              <w:t>□有境外及中高风险地区旅居史（28 天内）</w:t>
            </w:r>
          </w:p>
          <w:p>
            <w:pPr>
              <w:pStyle w:val="10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□或与境外及中高风险地区人员接触史（21 天内）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2766" w:type="dxa"/>
            <w:tcBorders>
              <w:left w:val="single" w:color="auto" w:sz="12" w:space="0"/>
            </w:tcBorders>
            <w:vAlign w:val="center"/>
          </w:tcPr>
          <w:p>
            <w:pPr>
              <w:pStyle w:val="10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接触史</w:t>
            </w:r>
          </w:p>
        </w:tc>
        <w:tc>
          <w:tcPr>
            <w:tcW w:w="7303" w:type="dxa"/>
            <w:tcBorders>
              <w:right w:val="single" w:color="auto" w:sz="12" w:space="0"/>
            </w:tcBorders>
            <w:vAlign w:val="center"/>
          </w:tcPr>
          <w:p>
            <w:pPr>
              <w:pStyle w:val="10"/>
              <w:spacing w:line="298" w:lineRule="exact"/>
              <w:ind w:right="-2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□有国内新冠疫情中高风险地区旅居史人员接触史</w:t>
            </w:r>
            <w:r>
              <w:rPr>
                <w:sz w:val="24"/>
              </w:rPr>
              <w:t>（21</w:t>
            </w:r>
            <w:r>
              <w:rPr>
                <w:spacing w:val="-20"/>
                <w:sz w:val="24"/>
              </w:rPr>
              <w:t>天内</w:t>
            </w:r>
            <w:r>
              <w:rPr>
                <w:spacing w:val="-12"/>
                <w:sz w:val="24"/>
              </w:rPr>
              <w:t>）</w:t>
            </w:r>
          </w:p>
          <w:p>
            <w:pPr>
              <w:pStyle w:val="10"/>
              <w:spacing w:before="2" w:line="310" w:lineRule="atLeast"/>
              <w:ind w:right="9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□有聚集性</w:t>
            </w:r>
            <w:r>
              <w:rPr>
                <w:sz w:val="24"/>
              </w:rPr>
              <w:t>（聚餐等</w:t>
            </w:r>
            <w:r>
              <w:rPr>
                <w:spacing w:val="-22"/>
                <w:sz w:val="24"/>
              </w:rPr>
              <w:t>）</w:t>
            </w:r>
            <w:r>
              <w:rPr>
                <w:spacing w:val="-7"/>
                <w:sz w:val="24"/>
              </w:rPr>
              <w:t>发病史</w:t>
            </w:r>
            <w:r>
              <w:rPr>
                <w:sz w:val="24"/>
              </w:rPr>
              <w:t>（2</w:t>
            </w:r>
            <w:r>
              <w:rPr>
                <w:spacing w:val="-9"/>
                <w:sz w:val="24"/>
              </w:rPr>
              <w:t xml:space="preserve"> 例及以上发热或呼吸道症状</w:t>
            </w:r>
            <w:r>
              <w:rPr>
                <w:sz w:val="24"/>
              </w:rPr>
              <w:t>病例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（14</w:t>
            </w:r>
            <w:r>
              <w:rPr>
                <w:spacing w:val="-20"/>
                <w:sz w:val="24"/>
              </w:rPr>
              <w:t>天内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6" w:hRule="atLeast"/>
          <w:jc w:val="center"/>
        </w:trPr>
        <w:tc>
          <w:tcPr>
            <w:tcW w:w="2766" w:type="dxa"/>
            <w:tcBorders>
              <w:left w:val="single" w:color="auto" w:sz="12" w:space="0"/>
            </w:tcBorders>
            <w:vAlign w:val="center"/>
          </w:tcPr>
          <w:p>
            <w:pPr>
              <w:pStyle w:val="10"/>
              <w:spacing w:before="149" w:after="120" w:afterLines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高风险岗位人员</w:t>
            </w:r>
          </w:p>
          <w:p>
            <w:pPr>
              <w:pStyle w:val="10"/>
              <w:spacing w:before="4" w:line="242" w:lineRule="auto"/>
              <w:ind w:right="97"/>
              <w:jc w:val="center"/>
              <w:rPr>
                <w:rFonts w:ascii="Times New Roman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每周至少测核酸1次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7303" w:type="dxa"/>
            <w:tcBorders>
              <w:right w:val="single" w:color="auto" w:sz="12" w:space="0"/>
            </w:tcBorders>
            <w:vAlign w:val="center"/>
          </w:tcPr>
          <w:p>
            <w:pPr>
              <w:pStyle w:val="10"/>
              <w:spacing w:after="96" w:afterLines="40"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□1.医疗机构内的发热门诊、隔离病房、新冠核酸检验等存</w:t>
            </w:r>
          </w:p>
          <w:p>
            <w:pPr>
              <w:pStyle w:val="10"/>
              <w:spacing w:after="96" w:afterLines="40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在高风险暴露的医务人员。</w:t>
            </w:r>
          </w:p>
          <w:p>
            <w:pPr>
              <w:pStyle w:val="10"/>
              <w:spacing w:after="96" w:afterLines="40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□2.从事呼吸道标本采集和检测的工作人员。</w:t>
            </w:r>
          </w:p>
          <w:p>
            <w:pPr>
              <w:pStyle w:val="10"/>
              <w:spacing w:after="96" w:afterLines="40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□3.国际交通运输工具从业人员。</w:t>
            </w:r>
          </w:p>
          <w:p>
            <w:pPr>
              <w:pStyle w:val="10"/>
              <w:spacing w:after="96" w:afterLines="40" w:line="301" w:lineRule="exact"/>
              <w:jc w:val="both"/>
              <w:rPr>
                <w:sz w:val="24"/>
              </w:rPr>
            </w:pPr>
            <w:r>
              <w:rPr>
                <w:sz w:val="24"/>
              </w:rPr>
              <w:t>□4.船舶引航员等登临外籍船舶作业人员。</w:t>
            </w:r>
          </w:p>
          <w:p>
            <w:pPr>
              <w:pStyle w:val="10"/>
              <w:spacing w:before="4" w:after="96" w:afterLines="40"/>
              <w:jc w:val="both"/>
              <w:rPr>
                <w:sz w:val="24"/>
              </w:rPr>
            </w:pPr>
            <w:r>
              <w:rPr>
                <w:sz w:val="24"/>
              </w:rPr>
              <w:t>□5.移民、海关以及市场监管系统一线工作人员。</w:t>
            </w:r>
          </w:p>
          <w:p>
            <w:pPr>
              <w:pStyle w:val="10"/>
              <w:spacing w:before="5" w:after="96" w:afterLines="40"/>
              <w:jc w:val="both"/>
              <w:rPr>
                <w:sz w:val="24"/>
              </w:rPr>
            </w:pPr>
            <w:r>
              <w:rPr>
                <w:sz w:val="24"/>
              </w:rPr>
              <w:t>□6.进口冷链食品（含外包装）监管和从业人员。</w:t>
            </w:r>
          </w:p>
          <w:p>
            <w:pPr>
              <w:pStyle w:val="10"/>
              <w:spacing w:before="4" w:after="96" w:afterLines="40" w:line="299" w:lineRule="exact"/>
              <w:jc w:val="both"/>
              <w:rPr>
                <w:sz w:val="24"/>
              </w:rPr>
            </w:pPr>
            <w:r>
              <w:rPr>
                <w:sz w:val="24"/>
              </w:rPr>
              <w:t>□7.口岸进口货物直接接触人员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10"/>
              <w:spacing w:after="96" w:afterLines="40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□8.集中隔离医学观察场所工作人员。</w:t>
            </w:r>
          </w:p>
          <w:p>
            <w:pPr>
              <w:pStyle w:val="10"/>
              <w:spacing w:after="96" w:afterLines="40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□9.接驳转运工作人员。</w:t>
            </w:r>
          </w:p>
          <w:p>
            <w:pPr>
              <w:pStyle w:val="10"/>
              <w:spacing w:after="96" w:afterLines="40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□10.“快捷通道”工作人员。</w:t>
            </w:r>
          </w:p>
          <w:p>
            <w:pPr>
              <w:pStyle w:val="10"/>
              <w:spacing w:after="96" w:afterLines="40"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□11.其他经风险研判确定的高风险岗位人员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66" w:type="dxa"/>
            <w:tcBorders>
              <w:left w:val="single" w:color="auto" w:sz="12" w:space="0"/>
            </w:tcBorders>
            <w:vAlign w:val="center"/>
          </w:tcPr>
          <w:p>
            <w:pPr>
              <w:pStyle w:val="10"/>
              <w:spacing w:before="2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核酸检测</w:t>
            </w:r>
          </w:p>
        </w:tc>
        <w:tc>
          <w:tcPr>
            <w:tcW w:w="7303" w:type="dxa"/>
            <w:tcBorders>
              <w:right w:val="single" w:color="auto" w:sz="12" w:space="0"/>
            </w:tcBorders>
            <w:vAlign w:val="center"/>
          </w:tcPr>
          <w:p>
            <w:pPr>
              <w:pStyle w:val="10"/>
              <w:tabs>
                <w:tab w:val="left" w:pos="1667"/>
                <w:tab w:val="left" w:pos="4483"/>
              </w:tabs>
              <w:spacing w:before="2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频次：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最近一次检测时间：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10"/>
              <w:spacing w:before="1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十大临床症状</w:t>
            </w:r>
          </w:p>
        </w:tc>
        <w:tc>
          <w:tcPr>
            <w:tcW w:w="7303" w:type="dxa"/>
            <w:tcBorders>
              <w:right w:val="single" w:color="auto" w:sz="12" w:space="0"/>
            </w:tcBorders>
            <w:vAlign w:val="center"/>
          </w:tcPr>
          <w:p>
            <w:pPr>
              <w:pStyle w:val="10"/>
              <w:jc w:val="both"/>
              <w:rPr>
                <w:sz w:val="24"/>
              </w:rPr>
            </w:pPr>
            <w:r>
              <w:rPr>
                <w:sz w:val="24"/>
              </w:rPr>
              <w:t>□发热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6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03" w:type="dxa"/>
            <w:tcBorders>
              <w:right w:val="single" w:color="auto" w:sz="12" w:space="0"/>
            </w:tcBorders>
            <w:vAlign w:val="center"/>
          </w:tcPr>
          <w:p>
            <w:pPr>
              <w:pStyle w:val="10"/>
              <w:tabs>
                <w:tab w:val="left" w:pos="1067"/>
                <w:tab w:val="left" w:pos="2027"/>
                <w:tab w:val="left" w:pos="2988"/>
              </w:tabs>
              <w:spacing w:before="12"/>
              <w:jc w:val="both"/>
              <w:rPr>
                <w:sz w:val="24"/>
              </w:rPr>
            </w:pPr>
            <w:r>
              <w:rPr>
                <w:sz w:val="24"/>
              </w:rPr>
              <w:t>□干咳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□鼻塞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□流涕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□咽痛等呼吸道症状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6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03" w:type="dxa"/>
            <w:tcBorders>
              <w:right w:val="single" w:color="auto" w:sz="12" w:space="0"/>
            </w:tcBorders>
            <w:vAlign w:val="center"/>
          </w:tcPr>
          <w:p>
            <w:pPr>
              <w:pStyle w:val="10"/>
              <w:spacing w:before="12"/>
              <w:jc w:val="both"/>
              <w:rPr>
                <w:sz w:val="24"/>
              </w:rPr>
            </w:pPr>
            <w:r>
              <w:rPr>
                <w:sz w:val="24"/>
              </w:rPr>
              <w:t>□腹泻等消化道症状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66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03" w:type="dxa"/>
            <w:tcBorders>
              <w:right w:val="single" w:color="auto" w:sz="12" w:space="0"/>
            </w:tcBorders>
            <w:vAlign w:val="center"/>
          </w:tcPr>
          <w:p>
            <w:pPr>
              <w:pStyle w:val="10"/>
              <w:tabs>
                <w:tab w:val="left" w:pos="1067"/>
                <w:tab w:val="left" w:pos="2027"/>
                <w:tab w:val="left" w:pos="3228"/>
              </w:tabs>
              <w:spacing w:before="53"/>
              <w:jc w:val="both"/>
              <w:rPr>
                <w:sz w:val="24"/>
              </w:rPr>
            </w:pPr>
            <w:r>
              <w:rPr>
                <w:sz w:val="24"/>
              </w:rPr>
              <w:t>□乏力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□肌痛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□结膜炎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□嗅觉味觉减退等其他症状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6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0"/>
              <w:spacing w:before="53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新冠疫苗接种情况</w:t>
            </w:r>
          </w:p>
        </w:tc>
        <w:tc>
          <w:tcPr>
            <w:tcW w:w="730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0"/>
              <w:tabs>
                <w:tab w:val="left" w:pos="1307"/>
                <w:tab w:val="left" w:pos="2027"/>
                <w:tab w:val="left" w:pos="2748"/>
                <w:tab w:val="left" w:pos="3468"/>
                <w:tab w:val="left" w:pos="6523"/>
              </w:tabs>
              <w:spacing w:before="53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接种了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针；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共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针；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最后一针接种日期：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>
      <w:pPr>
        <w:pStyle w:val="3"/>
        <w:spacing w:line="244" w:lineRule="auto"/>
        <w:ind w:left="111" w:right="234" w:firstLine="479"/>
        <w:rPr>
          <w:rFonts w:ascii="楷体_GB2312" w:eastAsia="楷体_GB2312"/>
          <w:spacing w:val="-9"/>
        </w:rPr>
      </w:pPr>
    </w:p>
    <w:p>
      <w:pPr>
        <w:pStyle w:val="3"/>
        <w:spacing w:line="244" w:lineRule="auto"/>
        <w:ind w:left="111" w:right="234" w:firstLine="479"/>
        <w:rPr>
          <w:rFonts w:ascii="楷体_GB2312" w:eastAsia="楷体_GB2312"/>
        </w:rPr>
      </w:pPr>
      <w:r>
        <w:rPr>
          <w:rFonts w:hint="eastAsia" w:ascii="楷体_GB2312" w:eastAsia="楷体_GB2312"/>
          <w:spacing w:val="-9"/>
        </w:rPr>
        <w:t>特别提醒：根据《传染病防治法》《治安管理处罚法》等法律规定，如果您隐瞒</w:t>
      </w:r>
      <w:r>
        <w:rPr>
          <w:rFonts w:hint="eastAsia" w:ascii="楷体_GB2312" w:eastAsia="楷体_GB2312"/>
        </w:rPr>
        <w:t>上述情况或者拒绝配合医务人员开展调查等处置措施的，将承担相应法律责任。</w:t>
      </w:r>
    </w:p>
    <w:p>
      <w:pPr>
        <w:pStyle w:val="3"/>
        <w:spacing w:before="1"/>
        <w:rPr>
          <w:rFonts w:ascii="楷体_GB2312"/>
          <w:sz w:val="34"/>
        </w:rPr>
      </w:pPr>
    </w:p>
    <w:p>
      <w:pPr>
        <w:spacing w:after="120" w:afterLines="50"/>
        <w:ind w:left="673"/>
        <w:rPr>
          <w:rFonts w:ascii="楷体_GB2312" w:eastAsia="楷体_GB2312"/>
          <w:b/>
          <w:sz w:val="28"/>
        </w:rPr>
      </w:pPr>
      <w:r>
        <w:rPr>
          <w:rFonts w:hint="eastAsia" w:ascii="楷体_GB2312" w:eastAsia="楷体_GB2312"/>
          <w:b/>
          <w:sz w:val="28"/>
        </w:rPr>
        <w:t>承诺以上情况均属实。</w:t>
      </w:r>
    </w:p>
    <w:p>
      <w:pPr>
        <w:pStyle w:val="3"/>
        <w:spacing w:after="120" w:afterLines="50"/>
        <w:rPr>
          <w:rFonts w:ascii="楷体_GB2312"/>
          <w:b/>
          <w:sz w:val="28"/>
        </w:rPr>
      </w:pPr>
    </w:p>
    <w:p>
      <w:pPr>
        <w:pStyle w:val="2"/>
        <w:tabs>
          <w:tab w:val="left" w:pos="8998"/>
        </w:tabs>
        <w:spacing w:after="120" w:afterLines="50"/>
        <w:ind w:left="4312"/>
        <w:rPr>
          <w:rFonts w:ascii="Times New Roman" w:eastAsia="Times New Roman"/>
        </w:rPr>
      </w:pPr>
      <w:r>
        <w:t>患者或</w:t>
      </w:r>
      <w:r>
        <w:rPr>
          <w:spacing w:val="-3"/>
        </w:rPr>
        <w:t>家</w:t>
      </w:r>
      <w:r>
        <w:t>属签</w:t>
      </w:r>
      <w:r>
        <w:rPr>
          <w:spacing w:val="-3"/>
        </w:rPr>
        <w:t>字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>
      <w:headerReference r:id="rId3" w:type="default"/>
      <w:pgSz w:w="11910" w:h="16840"/>
      <w:pgMar w:top="1134" w:right="851" w:bottom="284" w:left="85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75.55pt;margin-top:105.4pt;height:18.7pt;width:46.9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74" w:lineRule="exact"/>
                  <w:ind w:left="20"/>
                  <w:rPr>
                    <w:rFonts w:ascii="黑体" w:eastAsia="黑体"/>
                    <w:sz w:val="32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70658D"/>
    <w:rsid w:val="005A530A"/>
    <w:rsid w:val="0070658D"/>
    <w:rsid w:val="00A56B15"/>
    <w:rsid w:val="00AD70FA"/>
    <w:rsid w:val="449323D8"/>
    <w:rsid w:val="4C777FC4"/>
    <w:rsid w:val="666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楷体_GB2312" w:hAnsi="楷体_GB2312" w:eastAsia="楷体_GB2312" w:cs="楷体_GB2312"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111" w:hanging="182"/>
    </w:pPr>
  </w:style>
  <w:style w:type="paragraph" w:customStyle="1" w:styleId="10">
    <w:name w:val="Table Paragraph"/>
    <w:basedOn w:val="1"/>
    <w:qFormat/>
    <w:uiPriority w:val="1"/>
    <w:pPr>
      <w:ind w:left="107"/>
    </w:pPr>
  </w:style>
  <w:style w:type="character" w:customStyle="1" w:styleId="11">
    <w:name w:val="页眉 字符"/>
    <w:basedOn w:val="7"/>
    <w:link w:val="5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7DF34-C13E-4007-98C3-C1754392A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Lines>5</Lines>
  <Paragraphs>1</Paragraphs>
  <TotalTime>219</TotalTime>
  <ScaleCrop>false</ScaleCrop>
  <LinksUpToDate>false</LinksUpToDate>
  <CharactersWithSpaces>792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2021-08-13T06:13:00Z</dcterms:created>
  <dc:creator>王晁彬</dc:creator>
  <cp:lastModifiedBy>愛を捨てない</cp:lastModifiedBy>
  <cp:lastPrinted>2021-11-24T02:12:25Z</cp:lastPrinted>
  <dcterms:modified xsi:type="dcterms:W3CDTF">2021-11-24T02:12:33Z</dcterms:modified>
  <dc:title>坛卫〔2015〕72号      　　　　　　    签发人：李志芳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298F2DF2A51F4104AD021DE3FF96C870</vt:lpwstr>
  </property>
</Properties>
</file>