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 w:firstLineChars="200"/>
        <w:jc w:val="left"/>
      </w:pPr>
      <w:r>
        <w:rPr>
          <w:rFonts w:ascii="黑体" w:hAnsi="宋体" w:eastAsia="黑体" w:cs="黑体"/>
          <w:kern w:val="0"/>
          <w:sz w:val="30"/>
          <w:szCs w:val="30"/>
          <w:lang w:val="en-US" w:eastAsia="zh-CN" w:bidi="ar"/>
        </w:rPr>
        <w:t>招聘岗位及要求</w:t>
      </w:r>
    </w:p>
    <w:tbl>
      <w:tblPr>
        <w:tblpPr w:leftFromText="180" w:rightFromText="180" w:vertAnchor="text" w:horzAnchor="page" w:tblpXSpec="center" w:tblpY="428"/>
        <w:tblOverlap w:val="never"/>
        <w:tblW w:w="90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885"/>
        <w:gridCol w:w="930"/>
        <w:gridCol w:w="1545"/>
        <w:gridCol w:w="1966"/>
        <w:gridCol w:w="25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物业调解员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法律类，汉语类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7525"/>
    <w:rsid w:val="1E0D7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2020-03-05T06:19:00Z</dcterms:created>
  <dc:creator>不栉进士-小娜娜</dc:creator>
  <cp:lastModifiedBy>不栉进士-小娜娜</cp:lastModifiedBy>
  <dcterms:modified xsi:type="dcterms:W3CDTF">2020-03-05T06:22:12Z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